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9C" w:rsidRDefault="00DE110B" w:rsidP="008D3662">
      <w:pPr>
        <w:spacing w:before="0"/>
        <w:ind w:firstLine="0"/>
        <w:jc w:val="both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r w:rsidRPr="005D759C">
        <w:rPr>
          <w:rFonts w:ascii="Times New Roman" w:eastAsia="Times New Roman" w:hAnsi="Times New Roman" w:cs="Times New Roman"/>
          <w:b/>
          <w:kern w:val="36"/>
          <w:lang w:eastAsia="ru-RU"/>
        </w:rPr>
        <w:fldChar w:fldCharType="begin"/>
      </w:r>
      <w:r w:rsidR="0090221F" w:rsidRPr="005D759C">
        <w:rPr>
          <w:rFonts w:ascii="Times New Roman" w:eastAsia="Times New Roman" w:hAnsi="Times New Roman" w:cs="Times New Roman"/>
          <w:b/>
          <w:kern w:val="36"/>
          <w:lang w:eastAsia="ru-RU"/>
        </w:rPr>
        <w:instrText xml:space="preserve"> HYPERLINK "http://gto.vzlettime.ru/?p=910" </w:instrText>
      </w:r>
      <w:r w:rsidRPr="005D759C">
        <w:rPr>
          <w:rFonts w:ascii="Times New Roman" w:eastAsia="Times New Roman" w:hAnsi="Times New Roman" w:cs="Times New Roman"/>
          <w:b/>
          <w:kern w:val="36"/>
          <w:lang w:eastAsia="ru-RU"/>
        </w:rPr>
        <w:fldChar w:fldCharType="separate"/>
      </w:r>
      <w:r w:rsidR="0090221F" w:rsidRPr="005D759C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 xml:space="preserve">ПОЛОЖЕНИЕ О </w:t>
      </w:r>
      <w:proofErr w:type="gramStart"/>
      <w:r w:rsidR="0090221F" w:rsidRPr="005D759C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ВСЕРОССИЙСКОМ</w:t>
      </w:r>
      <w:proofErr w:type="gramEnd"/>
      <w:r w:rsidR="0090221F" w:rsidRPr="005D759C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 xml:space="preserve"> ФИ</w:t>
      </w:r>
      <w:r w:rsidR="005D759C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ЗКУЛЬТУРНО-СПОРТИВНОМ</w:t>
      </w:r>
      <w:bookmarkStart w:id="0" w:name="_Hlt462840958"/>
      <w:bookmarkStart w:id="1" w:name="_Hlt462840959"/>
      <w:bookmarkStart w:id="2" w:name="_Hlt462840963"/>
      <w:bookmarkEnd w:id="0"/>
      <w:bookmarkEnd w:id="1"/>
      <w:bookmarkEnd w:id="2"/>
    </w:p>
    <w:p w:rsidR="0090221F" w:rsidRPr="005D759C" w:rsidRDefault="005D759C" w:rsidP="008D3662">
      <w:pPr>
        <w:spacing w:before="0"/>
        <w:ind w:firstLine="0"/>
        <w:jc w:val="both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КОМПЛЕКСЕ</w:t>
      </w:r>
      <w:proofErr w:type="gramEnd"/>
      <w:r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 xml:space="preserve">  </w:t>
      </w:r>
      <w:r w:rsidR="0090221F" w:rsidRPr="005D759C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ГТО</w:t>
      </w:r>
      <w:r w:rsidR="00DE110B" w:rsidRPr="005D759C">
        <w:rPr>
          <w:rFonts w:ascii="Times New Roman" w:eastAsia="Times New Roman" w:hAnsi="Times New Roman" w:cs="Times New Roman"/>
          <w:b/>
          <w:kern w:val="36"/>
          <w:lang w:eastAsia="ru-RU"/>
        </w:rPr>
        <w:fldChar w:fldCharType="end"/>
      </w:r>
    </w:p>
    <w:p w:rsidR="0090221F" w:rsidRPr="005D759C" w:rsidRDefault="0090221F" w:rsidP="008D3662">
      <w:pPr>
        <w:spacing w:before="0" w:line="450" w:lineRule="atLeast"/>
        <w:ind w:firstLine="0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5D759C">
        <w:rPr>
          <w:rFonts w:ascii="Times New Roman" w:eastAsia="Times New Roman" w:hAnsi="Times New Roman" w:cs="Times New Roman"/>
          <w:b/>
          <w:lang w:eastAsia="ru-RU"/>
        </w:rPr>
        <w:t>I. Общие положения</w:t>
      </w:r>
    </w:p>
    <w:p w:rsidR="005D759C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D759C">
        <w:rPr>
          <w:rFonts w:ascii="Times New Roman" w:eastAsia="Times New Roman" w:hAnsi="Times New Roman" w:cs="Times New Roman"/>
          <w:lang w:eastAsia="ru-RU"/>
        </w:rPr>
        <w:t>1. Настоящее Положение определяет структуру, содержание и организацию работы по введению и дальнейшей реализации Всероссийского физкультурно-спортивного комплекса «Готов к труду и обороне» (ГТО) – программной и нормативной основы системы физического воспитания различных групп населения Российской Федерации. 2. Всероссийский физкультурно-спортивный комплекс «Готов к труду и обороне» (ГТО) устанавливает государственные требования к физической подготовленности граждан Российской Федерации, включающие виды испытаний (тесты) и нормы, перечень знаний, умений и навыков ведения здорового образа жизни для различных категорий населения. 3. Всероссийский физкультурно-спортивный комплекс «Готов к труду и обороне» (ГТО)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Всероссийского физкультурно-спортивного комплекса «Готов к труду и обороне» (ГТО).</w:t>
      </w:r>
    </w:p>
    <w:p w:rsidR="0090221F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D759C">
        <w:rPr>
          <w:rFonts w:ascii="Times New Roman" w:eastAsia="Times New Roman" w:hAnsi="Times New Roman" w:cs="Times New Roman"/>
          <w:b/>
          <w:lang w:eastAsia="ru-RU"/>
        </w:rPr>
        <w:t>II. Цель и задачи Всероссийского физкультурно-спортивного комплекса «Готов к труду и обороне» (ГТО)</w:t>
      </w:r>
    </w:p>
    <w:p w:rsidR="005D759C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D759C">
        <w:rPr>
          <w:rFonts w:ascii="Times New Roman" w:eastAsia="Times New Roman" w:hAnsi="Times New Roman" w:cs="Times New Roman"/>
          <w:lang w:eastAsia="ru-RU"/>
        </w:rPr>
        <w:t xml:space="preserve">4. Целью Всероссийского физкультурно-спортивного комплекса «Готов к труду и обороне» (ГТО) является: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 5.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Задачи Всероссийского физкультурно-спортивного комплекса «Готов к труду и обороне» (ГТО): а) увеличение числа граждан, систематически занимающихся физической культурой и спортом в Российской Федерации; б) повышение уровня физической подготовленности, продолжительности жизни граждан страны; в) 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жизни;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 </w:t>
      </w:r>
      <w:proofErr w:type="spellStart"/>
      <w:r w:rsidRPr="005D759C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5D759C">
        <w:rPr>
          <w:rFonts w:ascii="Times New Roman" w:eastAsia="Times New Roman" w:hAnsi="Times New Roman" w:cs="Times New Roman"/>
          <w:lang w:eastAsia="ru-RU"/>
        </w:rPr>
        <w:t>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90221F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D759C">
        <w:rPr>
          <w:rFonts w:ascii="Times New Roman" w:eastAsia="Times New Roman" w:hAnsi="Times New Roman" w:cs="Times New Roman"/>
          <w:b/>
          <w:lang w:eastAsia="ru-RU"/>
        </w:rPr>
        <w:t>III. Структура и содержание Всероссийского физкультурно-спортивного комплекса «Готов к труду и обороне» (ГТО)</w:t>
      </w:r>
    </w:p>
    <w:p w:rsidR="005D759C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D759C">
        <w:rPr>
          <w:rFonts w:ascii="Times New Roman" w:eastAsia="Times New Roman" w:hAnsi="Times New Roman" w:cs="Times New Roman"/>
          <w:lang w:eastAsia="ru-RU"/>
        </w:rPr>
        <w:t xml:space="preserve">6. Структура Всероссийского физкультурно-спортивного комплекса «Готов к труду и обороне» (ГТО) состоит из XI ступеней: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I ступень: 1 — 2 классы (6 — 8 лет); II ступень: 3 — 4 классы (9 — 10 лет); III ступень: 5 — 6 классы (11 — 12 лет); IV ступень: 7 — 9 классы (13 — 15 лет); V ступень: 10 — 11 классы, среднее профессиональное образование (16 — 17 лет); VI ступень: 18 — 29 лет; VII ступень: 30 — 39 лет;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VIII ступень: 40 — 49 лет; IX ступень: 50 – 59 лет; X ступень: 60 – 69 лет; XI ступень: 70 лет и старше. 7.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Нормативно-тестирующая часть Всероссийского физкультурно-спортивного комплекса «Готов к труду и обороне» (ГТО) предусматривает государственные требования к уровню физической подготовленности населения на основании выполнения установленных нормативов и оценки уровня знаний и умений, состоит из трех основных разделов: а) виды испытаний (тесты) и нормативы; б) требования к оценке уровня знаний и умений в области физической культуры и спорта;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в) рекомендации к недельному двигательному режиму.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сфере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8. Виды испытаний (тесты) и нормативы включают: виды испытаний (тесты), позволяющие определить уровень развития физических качеств и прикладных двигательных умений и навыков граждан; нормативы, позволяющие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 Виды испытаний (тесты) подразделяются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обязательные и по выбору. Обязательные испытания (тесты) в соответствии со ступенями подразделяются на: испытания (тесты) по определению </w:t>
      </w:r>
      <w:r w:rsidRPr="005D759C">
        <w:rPr>
          <w:rFonts w:ascii="Times New Roman" w:eastAsia="Times New Roman" w:hAnsi="Times New Roman" w:cs="Times New Roman"/>
          <w:lang w:eastAsia="ru-RU"/>
        </w:rPr>
        <w:lastRenderedPageBreak/>
        <w:t xml:space="preserve">уровня развития скоростных возможностей; испытания (тесты) по определению уровня развития выносливости; испытания (тесты) по определению уровня развития силы; испытания (тесты) по определению уровня развития гибкости. Испытания (тесты) по выбору в соответствии со ступенями подразделяются на: испытания (тесты) по определению уровня развития скоростно-силовых возможностей; испытания (тесты) по определению уровня развития координационных способностей; испытания (тесты) по определению уровня овладения прикладными навыками. 9.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Лица, выполнившие 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(ГТО)», награждаются соответствующим знаком отличия Всероссийского физкультурно-спортивного комплекса «Готов к труду и обороне» (ГТО), образец и описание которого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. Порядок награждения граждан знаками отличия Всероссийского физкультурно-спортивного комплекса «Готов к труду и обороне» (ГТО) и присвоения им спортивных разрядов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 10. Лица, имеющие спортивные звания и спортивные разряды не ниже второго юношеского и выполнившие нормативы Комплекса, соответствующие серебряному знаку отличия, награждаются золотым знаком отличия Всероссийского физкультурно-спортивного комплекса «Готов к труду и обороне» (ГТО). 11. Требование к оценке уровня знаний и умений в области физической культуры и спорта включают проверку знаний и умений по следующим разделам: влияние занятий физической культурой на состояние здоровья, повышение умственной и физической работоспособности; гигиена занятий физической культурой; основные методы контроля физического состояния при занятиях различными физкультурно-оздоровительными системами и видами спорта; основы методики самостоятельных занятий; основы истории развития физической культуры и спорта; 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 12. 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испытаний (тестов) и нормативов Всероссийского физкультурно-спортивного комплекса «Готов к труду и обороне» (ГТО), развития физических качеств, сохранения и укрепления здоровья. 13.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Спортивная часть Всероссийского физкультурно-спортивного комплекса «Готов к труду и обороне» (ГТО) направлена на привлечение граждан к регулярным занятиям физической культурой и спортом с учетом возрастных групп населения с целью выполнения разрядных нормативов и получения массовых спортивных разрядов, включает нормы, требования и условия их выполнения для многоборий, состоящих из видов испытаний (тестов), входящих во Всероссийский физкультурно-спортивный комплекс «Готов к труду и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обороне» (ГТО). Виды многоборий Всероссийского физкультурно-спортивного комплекса «Готов к труду и обороне» (ГТО)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 14. Порядок организации и проведения тестирования всех групп населения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</w:p>
    <w:p w:rsidR="0090221F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D759C">
        <w:rPr>
          <w:rFonts w:ascii="Times New Roman" w:eastAsia="Times New Roman" w:hAnsi="Times New Roman" w:cs="Times New Roman"/>
          <w:b/>
          <w:lang w:eastAsia="ru-RU"/>
        </w:rPr>
        <w:t>IV. Организация работы по реализации Всероссийского физкультурно-спортивного комплекса «Готов к труду и обороне» (ГТО)</w:t>
      </w:r>
    </w:p>
    <w:p w:rsidR="005D759C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D759C">
        <w:rPr>
          <w:rFonts w:ascii="Times New Roman" w:eastAsia="Times New Roman" w:hAnsi="Times New Roman" w:cs="Times New Roman"/>
          <w:lang w:eastAsia="ru-RU"/>
        </w:rPr>
        <w:t xml:space="preserve">15. К выполнению нормативов Всероссийского физкультурно-спортивного комплекса «Готов к труду и обороне» (ГТО) допускаются лица, относящиеся к различным группам здоровья, систематически занимающиеся физической культурой и спортом, в том числе самостоятельно, на основании результатов диспансеризации или медицинского осмотра.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Перечень видов испытаний (тестов), входящих во Всероссийский физкультурно-спортивный комплекс «Готов к труду и обороне» (ГТО), и порядок оценки выполнения нормативов лицами, отнесенными по состоянию здоровья к подготовительной или специальной медицинским группам,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16.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Субъекты Российской Федерации вправе по своему усмотрению дополнительно включить во Всероссийский физкультурно-спортивный комплекс «Готов к труду и обороне» (ГТО) на региональном уровне два вида испытаний (тестов), в том числе по национальным, а также наиболее популярным в молодежной среде видам спорта. 17. Значения уровней трудности Всероссийского физкультурно-спортивного комплекса «Готов к труду и обороне» (ГТО) </w:t>
      </w:r>
      <w:r w:rsidRPr="005D759C">
        <w:rPr>
          <w:rFonts w:ascii="Times New Roman" w:eastAsia="Times New Roman" w:hAnsi="Times New Roman" w:cs="Times New Roman"/>
          <w:lang w:eastAsia="ru-RU"/>
        </w:rPr>
        <w:lastRenderedPageBreak/>
        <w:t xml:space="preserve">учитываются федеральными государственными образовательными стандартами, примерными основными образовательными программами в области физической культуры и спорта при определении оценки освоения обучающимися образовательных программ в области физической культуры и спорта. 18.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 xml:space="preserve">Поступающие на обучение по образовательным программам высшего образования вправе представлять сведения о своих индивидуальных достижениях по физической культуре и спорту, наличии знаков отличия Всероссийского физкультурно-спортивного комплекса «Готов к труду и обороне» (ГТО), которые учитываются образовательными организациями при приеме в соответствии с Порядком приема граждан на обучение по программам </w:t>
      </w:r>
      <w:proofErr w:type="spellStart"/>
      <w:r w:rsidRPr="005D759C">
        <w:rPr>
          <w:rFonts w:ascii="Times New Roman" w:eastAsia="Times New Roman" w:hAnsi="Times New Roman" w:cs="Times New Roman"/>
          <w:lang w:eastAsia="ru-RU"/>
        </w:rPr>
        <w:t>бакалавриата</w:t>
      </w:r>
      <w:proofErr w:type="spellEnd"/>
      <w:r w:rsidRPr="005D759C">
        <w:rPr>
          <w:rFonts w:ascii="Times New Roman" w:eastAsia="Times New Roman" w:hAnsi="Times New Roman" w:cs="Times New Roman"/>
          <w:lang w:eastAsia="ru-RU"/>
        </w:rPr>
        <w:t xml:space="preserve">, программам </w:t>
      </w:r>
      <w:proofErr w:type="spellStart"/>
      <w:r w:rsidRPr="005D759C">
        <w:rPr>
          <w:rFonts w:ascii="Times New Roman" w:eastAsia="Times New Roman" w:hAnsi="Times New Roman" w:cs="Times New Roman"/>
          <w:lang w:eastAsia="ru-RU"/>
        </w:rPr>
        <w:t>специалитета</w:t>
      </w:r>
      <w:proofErr w:type="spellEnd"/>
      <w:r w:rsidRPr="005D759C">
        <w:rPr>
          <w:rFonts w:ascii="Times New Roman" w:eastAsia="Times New Roman" w:hAnsi="Times New Roman" w:cs="Times New Roman"/>
          <w:lang w:eastAsia="ru-RU"/>
        </w:rPr>
        <w:t xml:space="preserve"> и программам магистратуры. 19.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Студентам, обучающимся в образовательных организациях высшего образования и имеющим золотой знак отличия Всероссийского физкультурно-спортивного комплекса «Готов к труду и обороне» (ГТО), предоставляется возможность установления повышенной государственной академической стипендии и других мер поощрения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20.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Всероссийский физкультурно-спортивный комплекс «Готов к труду и обороне» (ГТО) предусматривает подготовку к выполнению и непосредственное выполнение установленных нормативов и требований населением различных возрастных групп в рамках мероприятий международного движения «Спорт для всех», а также интеграцию мероприятий Всероссийского физкультурно-спортивного комплекса «Готов к труду и обороне» (ГТО) в календарь спортивных и общественно важных мероприятий международного движения «Спорт для всех» на муниципальном, региональном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федеральном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уровнях. 21. Лица, осуществляющие трудовую деятельность, ведут подготовку к выполнению, а также непосредственное выполнение нормативов Всероссийского физкультурно-спортивного комплекса «Готов к труду и обороне» (ГТО) в ходе мероприятий, проводимых работодателем. Работодатель вправе поощрить в установленном порядке лиц, выполнивших нормативы и требования Всероссийского физкультурно-спортивного комплекса «Готов к труду и обороне» (ГТО) на соответствующий знак отличия Всероссийского физкультурно-спортивного комплекса «Готов к труду и обороне» (ГТО). 22. Для выполнения государственных требований по оценке общего уровня физической подготовленности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населения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на основании результатов выполнения установленных нормативов и оценки уровня знаний и умений Всероссийского физкультурно-спортивного комплекса «Готов к труду и обороне» (ГТО) создаются центры тестирования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(ГТО) (далее — центры тестирования ГТО). Порядок создания и положение о центрах тестирования ГТО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спорта. 23.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Федерации, Единый календарный план межрегиональных, всероссийских и международных физкультурных мероприятий и спортивных мероприятий органов исполнительной власти субъектов Российской Федерации в области физической культуры и спорта включают физкультурные и спортивные мероприятия, предусматривающие выполнение видов испытаний (тестов) и нормативов Всероссийского физкультурно-спортивного комплекса «Готов к труду и обороне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>» (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ГТО).</w:t>
      </w:r>
      <w:proofErr w:type="gramEnd"/>
    </w:p>
    <w:p w:rsidR="0090221F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D759C">
        <w:rPr>
          <w:rFonts w:ascii="Times New Roman" w:eastAsia="Times New Roman" w:hAnsi="Times New Roman" w:cs="Times New Roman"/>
          <w:b/>
          <w:lang w:eastAsia="ru-RU"/>
        </w:rPr>
        <w:t>V. Структура управления и информационное обеспечение Всероссийского физкультурно-спортивного комплекса «Готов к труду и обороне» (ГТО)</w:t>
      </w:r>
    </w:p>
    <w:p w:rsidR="0090221F" w:rsidRPr="005D759C" w:rsidRDefault="0090221F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D759C">
        <w:rPr>
          <w:rFonts w:ascii="Times New Roman" w:eastAsia="Times New Roman" w:hAnsi="Times New Roman" w:cs="Times New Roman"/>
          <w:lang w:eastAsia="ru-RU"/>
        </w:rPr>
        <w:t xml:space="preserve">24. 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Координацию деятельности по организации и реализации Всероссийского физкультурно-спортивного комплекса «Готов к труду и обороне» (ГТО)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физической культуры и спорта, а также высшие исполнительные органы государственной власти субъектов Российской Федерации и органы местного самоуправления. 25.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Информационное обеспечение введения и реализации Всероссийского физкультурно-спортивного комплекса «Готов к труду и обороне» ГТО осуществляется посредством специально созданных автономного </w:t>
      </w:r>
      <w:proofErr w:type="spellStart"/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интернет-портала</w:t>
      </w:r>
      <w:proofErr w:type="spellEnd"/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и электронной базы данных. 26. Учет данных выполнения видов испытаний (тестов) и нормативов Всероссийского физкультурно-спортивного комплекса «Готов к труду и обороне» (ГТО) осуществляется посредством специально разработанного в установленном порядке статистического наблюдения. </w:t>
      </w:r>
      <w:r w:rsidRPr="005D759C">
        <w:rPr>
          <w:rFonts w:ascii="Times New Roman" w:eastAsia="Times New Roman" w:hAnsi="Times New Roman" w:cs="Times New Roman"/>
          <w:b/>
          <w:bCs/>
          <w:lang w:eastAsia="ru-RU"/>
        </w:rPr>
        <w:t>Принятые обозначения и сокращения</w:t>
      </w:r>
      <w:proofErr w:type="gramStart"/>
      <w:r w:rsidRPr="005D759C">
        <w:rPr>
          <w:rFonts w:ascii="Times New Roman" w:eastAsia="Times New Roman" w:hAnsi="Times New Roman" w:cs="Times New Roman"/>
          <w:lang w:eastAsia="ru-RU"/>
        </w:rPr>
        <w:t> В</w:t>
      </w:r>
      <w:proofErr w:type="gramEnd"/>
      <w:r w:rsidRPr="005D759C">
        <w:rPr>
          <w:rFonts w:ascii="Times New Roman" w:eastAsia="Times New Roman" w:hAnsi="Times New Roman" w:cs="Times New Roman"/>
          <w:lang w:eastAsia="ru-RU"/>
        </w:rPr>
        <w:t xml:space="preserve"> настоящем положении применимы следующие сокращения: ГТО расшифровка — Готов к труду и обороне</w:t>
      </w:r>
    </w:p>
    <w:p w:rsidR="005D759C" w:rsidRDefault="005D759C" w:rsidP="008D3662">
      <w:pPr>
        <w:spacing w:before="0" w:after="300" w:line="630" w:lineRule="atLeast"/>
        <w:ind w:firstLine="0"/>
        <w:jc w:val="both"/>
        <w:outlineLvl w:val="0"/>
      </w:pPr>
    </w:p>
    <w:p w:rsidR="0090221F" w:rsidRPr="00B87388" w:rsidRDefault="00DE110B" w:rsidP="008D3662">
      <w:pPr>
        <w:spacing w:before="0" w:after="300" w:line="630" w:lineRule="atLeast"/>
        <w:ind w:firstLine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4" w:history="1">
        <w:r w:rsidR="0090221F" w:rsidRPr="00B87388">
          <w:rPr>
            <w:rFonts w:ascii="Times New Roman" w:eastAsia="Times New Roman" w:hAnsi="Times New Roman" w:cs="Times New Roman"/>
            <w:kern w:val="36"/>
            <w:sz w:val="28"/>
            <w:szCs w:val="28"/>
            <w:u w:val="single"/>
            <w:lang w:eastAsia="ru-RU"/>
          </w:rPr>
          <w:t>ПРИКАЗ ОБ УТВЕРЖДЕНИИ ОБРАЗЦА ЗНАКА ОТЛИЧИЯ ГТО</w:t>
        </w:r>
      </w:hyperlink>
    </w:p>
    <w:p w:rsidR="0090221F" w:rsidRPr="00B87388" w:rsidRDefault="0090221F" w:rsidP="008D3662">
      <w:pPr>
        <w:spacing w:before="0" w:after="300" w:line="300" w:lineRule="atLeast"/>
        <w:ind w:firstLine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УТВЕРЖДЕНИИ ОБРАЗЦА ЗНАКА ОТЛИЧИЯ ГТО</w:t>
      </w:r>
    </w:p>
    <w:p w:rsidR="00B87388" w:rsidRPr="00B87388" w:rsidRDefault="0090221F" w:rsidP="008D366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8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№705 от 19 августа 2014г.</w:t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8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образца и описания знака отличия Всероссийского физкультурно-спортивного комплекса «Готов к труду и обороне» (ГТО)</w:t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1 Указа Президента Российской Федерации от 28 июля 2014 г. №533 «Об использовании Государственного герба Российской Федерации на знаках отличия Всероссийского физкультурно-спортивного комплекса «Готов к труду и обороне» (ГТО) (Официальный интернет-портал правовой информации http://www.pravo.gov.ru, 28 июля</w:t>
      </w:r>
      <w:proofErr w:type="gram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г., №00011201407280015) и пунктом 13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г., №540 (Собрание законодательства Российской Федерации, 2014, №25, ст.3309), приказываю: 1.</w:t>
      </w:r>
      <w:proofErr w:type="gram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Утвердить: 1.1 Образец знака отличия Всероссийского физкультурно-спортивного комплекса «Готов к труду и обороне» (ГТО) согласно Приложению №1 к настоящему приказу. 1.2 Описание знака отличия Всероссийского физкультурно-спортивного комплекса «Готов к труду и обороне» (ГТО) согласно Приложению №2 к настоящему приказу. 2. </w:t>
      </w:r>
      <w:proofErr w:type="gramStart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статс-секретаря — заместителя Министра спорта Российской Федерации Н.В. Паршикову. Приложение №1 </w:t>
      </w:r>
      <w:r w:rsidRPr="00B8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знака отличия Всероссийского физкультурно-спортивного комплекса «Готов к труду и обороне» (ГТО)</w:t>
      </w:r>
      <w:r w:rsidRPr="00B873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819400"/>
            <wp:effectExtent l="19050" t="0" r="0" b="0"/>
            <wp:docPr id="1" name="Рисунок 1" descr="Золотой значок ГТО">
              <a:hlinkClick xmlns:a="http://schemas.openxmlformats.org/drawingml/2006/main" r:id="rId5" tooltip="&quot;ПРИКАЗ ОБ УТВЕРЖДЕНИИ ОБРАЗЦА ЗНАКА ОТЛИЧИЯ Г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лотой значок ГТО">
                      <a:hlinkClick r:id="rId5" tooltip="&quot;ПРИКАЗ ОБ УТВЕРЖДЕНИИ ОБРАЗЦА ЗНАКА ОТЛИЧИЯ Г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золотого знака отличия Всероссийского физкультурно-спортивного комплекса «Готов к труду и </w:t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обороне» (ГТО), лицевая сторона.</w:t>
      </w:r>
      <w:r w:rsidRPr="00B873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819400"/>
            <wp:effectExtent l="19050" t="0" r="0" b="0"/>
            <wp:docPr id="2" name="Рисунок 2" descr="Серебряный значок ГТО">
              <a:hlinkClick xmlns:a="http://schemas.openxmlformats.org/drawingml/2006/main" r:id="rId7" tooltip="&quot;ПРИКАЗ ОБ УТВЕРЖДЕНИИ ОБРАЗЦА ЗНАКА ОТЛИЧИЯ Г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ребряный значок ГТО">
                      <a:hlinkClick r:id="rId7" tooltip="&quot;ПРИКАЗ ОБ УТВЕРЖДЕНИИ ОБРАЗЦА ЗНАКА ОТЛИЧИЯ Г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серебряного знака отличия Всероссийского физкультурно-спортивного комплекса «Готов к труду и обороне» (ГТО), лицевая сторона.</w:t>
      </w:r>
      <w:r w:rsidRPr="00B873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819400"/>
            <wp:effectExtent l="19050" t="0" r="0" b="0"/>
            <wp:docPr id="3" name="Рисунок 3" descr="Бронзовый значок ГТО">
              <a:hlinkClick xmlns:a="http://schemas.openxmlformats.org/drawingml/2006/main" r:id="rId9" tooltip="&quot;ПРИКАЗ ОБ УТВЕРЖДЕНИИ ОБРАЗЦА ЗНАКА ОТЛИЧИЯ Г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ронзовый значок ГТО">
                      <a:hlinkClick r:id="rId9" tooltip="&quot;ПРИКАЗ ОБ УТВЕРЖДЕНИИ ОБРАЗЦА ЗНАКА ОТЛИЧИЯ Г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бронзового знака отличия Всероссийского физкультурно-спортивного комплекса «Готов к труду и обороне» (ГТО), лицевая сторона Приложение № 2 </w:t>
      </w:r>
      <w:r w:rsidRPr="00B8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знака отличия Всероссийского физкультурно-спортивного комплекса «Готов к труду и обороне» (ГТО)</w:t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 изготавливается из железа с покрытием, возможно изготовление из сплава </w:t>
      </w:r>
      <w:proofErr w:type="spellStart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Цамак</w:t>
      </w:r>
      <w:proofErr w:type="spell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Zamak</w:t>
      </w:r>
      <w:proofErr w:type="spell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покрытием; Покрытие металла – имитация золота с высококачественной полировкой; Рельеф знака имеет 2 уровня. Рельеф должен точно соответствовать чертежу. Минимальный перепад высот уровней знака должен составлять не менее 0,6 мм; Знак штампованный или литой, с холодной эмалью; Застежка знака – цанга; Размер знака 24х24 мм, толщина 1,2 мм. </w:t>
      </w:r>
      <w:proofErr w:type="gramStart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 отличия Всероссийского физкультурно-спортивного комплекса «Готов к труду и обороне» (ГТО) имеет форму стилизованной </w:t>
      </w:r>
      <w:proofErr w:type="spellStart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многоконечной</w:t>
      </w:r>
      <w:proofErr w:type="spell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звезды, в центре которой расположена окружность с изображением бегущего спортсмена на фоне красного цвета (для золотого знака отличия Всероссийского физкультурно-спортивного комплекса «Готов к труду и обороне» (ГТО), синего цвета (для серебряного знака отличия Всероссийского физкультурно-спортивного комплекса «Готов к труду и обороне» (ГТО), зеленого цвета (для</w:t>
      </w:r>
      <w:proofErr w:type="gram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бронзового знака отличия Всероссийского физкультурно-спортивного комплекса «Готов </w:t>
      </w:r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труду и обороне» (ГТО) с изображением восходящего солнца. Данный элемент изготовлен с использованием специальной полупрозрачной эмали, под которой просвечивают расходящиеся лучи. Снизу выполнена надпись аббревиатуры «ГТО» красного цвета. В верхней части знака – изображение герба Российской Федерации. Центральную окружность знака обрамляет широкий кант с рельефом в виде ряда параллельных дугообразных лучей, направленных из центра вверх, и лавровых ветвей в нижней части знака, обрамленных с двух концов лентами цвета флага Российской Федерации. </w:t>
      </w:r>
      <w:proofErr w:type="gramStart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нижней части знака  расположена арабская цифра от 1 до 11 красного цвета (для золотого знака отличия Всероссийского физкультурно-спортивного комплекса «Готов к труду и обороне» (ГТО), синего цвета (для серебряного знака отличия Всероссийского физкультурно-спортивного комплекса «Готов к труду и обороне» (ГТО), зеленого цвета (для бронзового знака отличия Всероссийского физкультурно-спортивного комплекса «Готов к труду и обороне» (ГТО), отображающая соответствующую ступень знака</w:t>
      </w:r>
      <w:proofErr w:type="gramEnd"/>
      <w:r w:rsidRPr="00B8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отличия Всероссийского физкультурно-спортивного комплекса «Готов к труду и обороне» (ГТО). На оборотной стороне знака отличия Всероссийского физкультурно-спортивного комплекса «Готов к труду и обороне» (ГТО) имеется застежка с фиксатором для крепления знака к одежде.</w:t>
      </w:r>
      <w:r w:rsidR="00B87388" w:rsidRPr="00B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b/>
          <w:color w:val="auto"/>
          <w:sz w:val="44"/>
          <w:szCs w:val="28"/>
        </w:rPr>
      </w:pPr>
      <w:r w:rsidRPr="00B87388">
        <w:rPr>
          <w:rFonts w:ascii="Times New Roman" w:hAnsi="Times New Roman" w:cs="Times New Roman"/>
          <w:b/>
          <w:color w:val="auto"/>
          <w:sz w:val="44"/>
          <w:szCs w:val="28"/>
        </w:rPr>
        <w:t>Законодательные акты Российской Федерации: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•Федеральный закон «О физической культуре и спорте в Российской Федерации» от 04.12.2007 № 329-ФЗ (ред. от 04.06.2014);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•Федеральный закон «О федеральном бюджете на 2014 год и плановый период 2015 и 2016 годов» от 02.12.2013 № 349-ФЗ (ред. от 28.06.2014 № 201-ФЗ);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•Федеральный закон «О федеральном бюджете на 2015 год и на плановый период 2016 и 2017 годов» от 01.12.2014 № 384-ФЗ;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•Федеральный закон «Об образовании в Российской Федерации» от 29.12.2014 № 273-ФЗ (ред. от 04.06.2014 № 145-ФЗ);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•Федеральный закон «Об общественных объединениях» от 19 мая 1995 года № 82-ФЗ (ред. от 21.07.2014 № 236-ФЗ);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•Федеральный закон «Об ответственности за нарушение порядка предоставления государственной статистической отчетности» от 13.05.1992 № 2761-1 ФЗ (ред. от 30.12.2001 № 196-ФЗ);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6.10.1999 г. № 184-ФЗ (ред. 04.11.2014 № 328-ФЗ); </w:t>
      </w:r>
    </w:p>
    <w:p w:rsidR="0090221F" w:rsidRPr="00B87388" w:rsidRDefault="00B87388" w:rsidP="008D3662">
      <w:pPr>
        <w:spacing w:before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88">
        <w:rPr>
          <w:rFonts w:ascii="Times New Roman" w:hAnsi="Times New Roman" w:cs="Times New Roman"/>
          <w:sz w:val="28"/>
          <w:szCs w:val="28"/>
        </w:rPr>
        <w:t>•Федеральный закон «Об общих принципах организации местного самоуправления в Российской Федерации» от 6.10.2003 года № 131-ФЗ (ред. от 14.10.2014 № 307-ФЗ).</w:t>
      </w:r>
    </w:p>
    <w:p w:rsidR="00FF69E4" w:rsidRPr="00B87388" w:rsidRDefault="00FF69E4" w:rsidP="008D366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87388" w:rsidRPr="00B87388" w:rsidRDefault="00FF69E4" w:rsidP="008D3662">
      <w:pPr>
        <w:jc w:val="both"/>
        <w:rPr>
          <w:rFonts w:ascii="Times New Roman" w:hAnsi="Times New Roman" w:cs="Times New Roman"/>
          <w:sz w:val="28"/>
          <w:szCs w:val="28"/>
        </w:rPr>
      </w:pPr>
      <w:r w:rsidRPr="00B87388">
        <w:rPr>
          <w:rFonts w:ascii="Times New Roman" w:hAnsi="Times New Roman" w:cs="Times New Roman"/>
          <w:sz w:val="28"/>
          <w:szCs w:val="28"/>
        </w:rPr>
        <w:br w:type="page"/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</w:rPr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B87388">
        <w:rPr>
          <w:rFonts w:ascii="Times New Roman" w:hAnsi="Times New Roman" w:cs="Times New Roman"/>
          <w:b/>
          <w:color w:val="auto"/>
          <w:sz w:val="48"/>
          <w:szCs w:val="48"/>
        </w:rPr>
        <w:t>Подзаконные правовые акты по введению в действие комплекса ГТО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Постановление Правительства Российской Федерации «О внесении изменений в государственную программу Российской Федерации «Развитие физической культуры и спорта» от 16 сентября 2014 г. № 821;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Постановление Правительства Российской Федерации «Об утверждении Правил предоставления в 2014 году субсидий из федерального бюджета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в рамках подпрограммы «Развитие физической культуры и массового спорта» государственной программы Российской Федерации «Развитие физической культуры и спорта» от 02 октября 2014 г. № 1013; </w:t>
      </w:r>
      <w:proofErr w:type="gramEnd"/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>• Распоряжение Правительства Российской Федерации от 8 ноября 2014г. № 2238-р. «О распределении субсидий, предоставляемых в 2014 году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в рамках подпрограммы «Развитие физической культуры и массового спорта» государственной программы Российской Федерации «Развитие физической культуры и спорта».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88" w:rsidRDefault="00B87388" w:rsidP="008D3662">
      <w:pPr>
        <w:pStyle w:val="Default"/>
        <w:jc w:val="both"/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b/>
          <w:color w:val="auto"/>
          <w:sz w:val="40"/>
          <w:szCs w:val="28"/>
        </w:rPr>
      </w:pPr>
      <w:r w:rsidRPr="00B87388">
        <w:rPr>
          <w:rFonts w:ascii="Times New Roman" w:hAnsi="Times New Roman" w:cs="Times New Roman"/>
          <w:b/>
          <w:color w:val="auto"/>
          <w:sz w:val="40"/>
          <w:szCs w:val="28"/>
        </w:rPr>
        <w:t>Нормативно-правовые акты Министерства спорта Российской Федерации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8 мая2014г. № 292 «О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03 июня 2014 г. № 436 «Об утверждении Положения о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23 июня 2014 г. № 498 «О внесении изменений в Базовый (отраслевой) перечень государственных услуг (работ)…. 25 октября 2010 г. № 1127»; </w:t>
      </w:r>
    </w:p>
    <w:p w:rsidR="00B87388" w:rsidRDefault="00B87388" w:rsidP="008D3662">
      <w:pPr>
        <w:pStyle w:val="Default"/>
        <w:jc w:val="both"/>
      </w:pP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64"/>
          <w:szCs w:val="64"/>
        </w:rPr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B87388">
        <w:rPr>
          <w:rFonts w:ascii="Times New Roman" w:hAnsi="Times New Roman" w:cs="Times New Roman"/>
          <w:b/>
          <w:color w:val="auto"/>
          <w:sz w:val="44"/>
          <w:szCs w:val="44"/>
        </w:rPr>
        <w:t>Нормативно-правовые акты Министерства спорта Российской Федерации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•Приказ от 08 июля 2014 г. № 575 «Об утверждении государственных требований к уровню физической подготовленности населения при </w:t>
      </w:r>
      <w:r w:rsidRPr="00B873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выполнении нормативов Всероссийского физкультурно-спортивного комплекса «Готов к труду и обороне» (ГТО)»;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09 июля 2014г. № 574/1 «Об утверждении списка субъектов Российской Федерации, осуществляющих организационно-экспериментальную апробацию внедрения Всероссийского физкультурно-спортивного комплекса «Готов к труду и обороне»;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•Приказ от 09 июля 2014 г. № 576/1 «О внесении изменений в состав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•Приказ от 19 августа2014г. № 705 «Об утверждении образца и описания знака отличия Всероссийского физкультурно-спортивного комплекса «Готов к труду и обороне» (ГТО)»;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>•Приказ от 25 августа 2014 г. №726 «О внесении изменений в ведомственный перечень государственных услуг (работ), оказываемы</w:t>
      </w:r>
      <w:proofErr w:type="gramStart"/>
      <w:r w:rsidRPr="00B87388">
        <w:rPr>
          <w:rFonts w:ascii="Times New Roman" w:hAnsi="Times New Roman" w:cs="Times New Roman"/>
          <w:color w:val="auto"/>
          <w:sz w:val="28"/>
          <w:szCs w:val="28"/>
        </w:rPr>
        <w:t>х(</w:t>
      </w:r>
      <w:proofErr w:type="gramEnd"/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выполняемых) находящимися в ведении Министерства спорта Российской Федерации федеральными государственными учреждениями в качестве основных видов деятельности, утвержденный Приказом </w:t>
      </w:r>
      <w:proofErr w:type="spellStart"/>
      <w:r w:rsidRPr="00B87388">
        <w:rPr>
          <w:rFonts w:ascii="Times New Roman" w:hAnsi="Times New Roman" w:cs="Times New Roman"/>
          <w:color w:val="auto"/>
          <w:sz w:val="28"/>
          <w:szCs w:val="28"/>
        </w:rPr>
        <w:t>Минспорта</w:t>
      </w:r>
      <w:proofErr w:type="spellEnd"/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 России от 14 октября 2013 г. № 801»; </w:t>
      </w:r>
    </w:p>
    <w:p w:rsidR="00B87388" w:rsidRDefault="00B87388" w:rsidP="008D3662">
      <w:pPr>
        <w:pStyle w:val="Default"/>
        <w:jc w:val="both"/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B87388">
        <w:rPr>
          <w:rFonts w:ascii="Times New Roman" w:hAnsi="Times New Roman" w:cs="Times New Roman"/>
          <w:b/>
          <w:color w:val="auto"/>
          <w:sz w:val="44"/>
          <w:szCs w:val="44"/>
        </w:rPr>
        <w:t>Нормативно-правовые акты Министерства спорта Российской Федерации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29 августа 2014 г.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21 октября 2014г. № 858 «О внесении изменений в Приказ Министерства спорта Российской Федерации от 22 сентября 2014 г. №785 «О повышении квалификации и профессиональной переподготовке специалистов в 2014/2015 учебном году»;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24 ноября 2014г. № 943 «Об организации работы по сбору и обработке данных годовой формы федерального статистического наблюдения №2-ГТО», утвержденной Приказом Федеральной службы государственной статистики от 10.10.2014 №606»; </w:t>
      </w:r>
    </w:p>
    <w:p w:rsidR="00F162A2" w:rsidRPr="00B87388" w:rsidRDefault="00B87388" w:rsidP="008D3662">
      <w:pPr>
        <w:jc w:val="both"/>
        <w:rPr>
          <w:rFonts w:ascii="Times New Roman" w:hAnsi="Times New Roman" w:cs="Times New Roman"/>
          <w:sz w:val="28"/>
          <w:szCs w:val="28"/>
        </w:rPr>
      </w:pPr>
      <w:r w:rsidRPr="00B87388">
        <w:rPr>
          <w:rFonts w:ascii="Times New Roman" w:hAnsi="Times New Roman" w:cs="Times New Roman"/>
          <w:sz w:val="28"/>
          <w:szCs w:val="28"/>
        </w:rPr>
        <w:t>• Приказ от 1 декабря 2014г. №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них».</w:t>
      </w:r>
    </w:p>
    <w:p w:rsidR="00B87388" w:rsidRDefault="00B87388" w:rsidP="008D3662">
      <w:pPr>
        <w:pStyle w:val="Default"/>
        <w:jc w:val="both"/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50"/>
          <w:szCs w:val="50"/>
        </w:rPr>
      </w:pPr>
      <w:r w:rsidRPr="00B87388">
        <w:rPr>
          <w:rFonts w:ascii="Times New Roman" w:hAnsi="Times New Roman" w:cs="Times New Roman"/>
          <w:color w:val="auto"/>
          <w:sz w:val="50"/>
          <w:szCs w:val="50"/>
        </w:rPr>
        <w:t>Нормативно-правовые акты Министерства образования и науки Российской Федерации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17 июля 2014г. №761 «Об определении ответственных исполнителей в Министерстве образования и науки Российской Федерации и Федеральном агентстве по делам молодежи по выполнению плана </w:t>
      </w:r>
      <w:r w:rsidRPr="00B873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мероприятий по поэтапному внедрению Всероссийского физкультурно-спортивного комплекса «Готов к труду и обороне», утвержденного распоряжением Правительства Российской Федерации от 30 июня 2014 г. №1165-р»;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Приказ от 28 июля 2014г. №839 «Об утверждении Порядка приема на </w:t>
      </w:r>
      <w:proofErr w:type="gramStart"/>
      <w:r w:rsidRPr="00B87388">
        <w:rPr>
          <w:rFonts w:ascii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образовательным программам высшего образования - программам </w:t>
      </w:r>
      <w:proofErr w:type="spellStart"/>
      <w:r w:rsidRPr="00B87388">
        <w:rPr>
          <w:rFonts w:ascii="Times New Roman" w:hAnsi="Times New Roman" w:cs="Times New Roman"/>
          <w:color w:val="auto"/>
          <w:sz w:val="28"/>
          <w:szCs w:val="28"/>
        </w:rPr>
        <w:t>бакалавриата</w:t>
      </w:r>
      <w:proofErr w:type="spellEnd"/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, программам </w:t>
      </w:r>
      <w:proofErr w:type="spellStart"/>
      <w:r w:rsidRPr="00B87388">
        <w:rPr>
          <w:rFonts w:ascii="Times New Roman" w:hAnsi="Times New Roman" w:cs="Times New Roman"/>
          <w:color w:val="auto"/>
          <w:sz w:val="28"/>
          <w:szCs w:val="28"/>
        </w:rPr>
        <w:t>специалитета</w:t>
      </w:r>
      <w:proofErr w:type="spellEnd"/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, программам магистратуры на 2015/16 учебный год». </w:t>
      </w: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46"/>
          <w:szCs w:val="46"/>
        </w:rPr>
      </w:pP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46"/>
          <w:szCs w:val="46"/>
        </w:rPr>
      </w:pPr>
    </w:p>
    <w:p w:rsid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46"/>
          <w:szCs w:val="46"/>
        </w:rPr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46"/>
          <w:szCs w:val="46"/>
        </w:rPr>
      </w:pPr>
      <w:r w:rsidRPr="00B87388">
        <w:rPr>
          <w:rFonts w:ascii="Times New Roman" w:hAnsi="Times New Roman" w:cs="Times New Roman"/>
          <w:color w:val="auto"/>
          <w:sz w:val="46"/>
          <w:szCs w:val="46"/>
        </w:rPr>
        <w:t>Нормативно-правовые акты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46"/>
          <w:szCs w:val="46"/>
        </w:rPr>
      </w:pPr>
      <w:r w:rsidRPr="00B87388">
        <w:rPr>
          <w:rFonts w:ascii="Times New Roman" w:hAnsi="Times New Roman" w:cs="Times New Roman"/>
          <w:color w:val="auto"/>
          <w:sz w:val="46"/>
          <w:szCs w:val="46"/>
        </w:rPr>
        <w:t>министерств и ведомств Российской Федерации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87388">
        <w:rPr>
          <w:rFonts w:ascii="Times New Roman" w:hAnsi="Times New Roman" w:cs="Times New Roman"/>
          <w:color w:val="auto"/>
          <w:sz w:val="30"/>
          <w:szCs w:val="30"/>
        </w:rPr>
        <w:t xml:space="preserve">• Приказ Министерства здравоохранения и социального развития Российской Федерации от 9 августа 2010г. №613н «Об утверждении порядка оказания медицинской помощи при проведении физкультурных и спортивных мероприятий»;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87388">
        <w:rPr>
          <w:rFonts w:ascii="Times New Roman" w:hAnsi="Times New Roman" w:cs="Times New Roman"/>
          <w:color w:val="auto"/>
          <w:sz w:val="30"/>
          <w:szCs w:val="30"/>
        </w:rPr>
        <w:t xml:space="preserve">• Приказ Министерства труда и социальной защиты Российской Федерации от 16 июня 2014г. №375н «О внесении изменений в Типовой перечень ежегодно реализуемых работодателем мероприятий по улучшению условий и охраны труда и снижению уровней профессиональных рисков»; </w:t>
      </w:r>
    </w:p>
    <w:p w:rsidR="00B87388" w:rsidRPr="00B87388" w:rsidRDefault="00B87388" w:rsidP="008D3662">
      <w:pPr>
        <w:jc w:val="both"/>
        <w:rPr>
          <w:rFonts w:ascii="Times New Roman" w:hAnsi="Times New Roman" w:cs="Times New Roman"/>
          <w:sz w:val="30"/>
          <w:szCs w:val="30"/>
        </w:rPr>
      </w:pPr>
      <w:r w:rsidRPr="00B87388">
        <w:rPr>
          <w:rFonts w:ascii="Times New Roman" w:hAnsi="Times New Roman" w:cs="Times New Roman"/>
          <w:sz w:val="30"/>
          <w:szCs w:val="30"/>
        </w:rPr>
        <w:t>• Приказ Федеральной службы государственной статистики Российской Федерации от 10 октября 2014 г.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подготовку».</w:t>
      </w:r>
    </w:p>
    <w:p w:rsidR="00B87388" w:rsidRDefault="00B87388" w:rsidP="008D3662">
      <w:pPr>
        <w:pStyle w:val="Default"/>
        <w:jc w:val="both"/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60"/>
          <w:szCs w:val="60"/>
        </w:rPr>
      </w:pPr>
      <w:r w:rsidRPr="00B87388">
        <w:rPr>
          <w:rFonts w:ascii="Times New Roman" w:hAnsi="Times New Roman" w:cs="Times New Roman"/>
          <w:bCs/>
          <w:color w:val="auto"/>
          <w:sz w:val="60"/>
          <w:szCs w:val="60"/>
        </w:rPr>
        <w:t>Нормативно-правовое обеспечение комплекса ГТО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03"/>
        <w:gridCol w:w="4403"/>
      </w:tblGrid>
      <w:tr w:rsidR="00B87388" w:rsidRPr="00B87388">
        <w:trPr>
          <w:trHeight w:val="200"/>
        </w:trPr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Наименование акта </w:t>
            </w:r>
          </w:p>
        </w:tc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количество </w:t>
            </w:r>
          </w:p>
        </w:tc>
      </w:tr>
      <w:tr w:rsidR="00B87388" w:rsidRPr="00B87388">
        <w:trPr>
          <w:trHeight w:val="200"/>
        </w:trPr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Указ Президента РФ </w:t>
            </w:r>
          </w:p>
        </w:tc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2 </w:t>
            </w:r>
          </w:p>
        </w:tc>
      </w:tr>
      <w:tr w:rsidR="00B87388" w:rsidRPr="00B87388">
        <w:trPr>
          <w:trHeight w:val="440"/>
        </w:trPr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Нормативные акты Правительства РФ </w:t>
            </w:r>
          </w:p>
        </w:tc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5 </w:t>
            </w:r>
          </w:p>
        </w:tc>
      </w:tr>
      <w:tr w:rsidR="00B87388" w:rsidRPr="00B87388">
        <w:trPr>
          <w:trHeight w:val="440"/>
        </w:trPr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Приказы Министерства спорта РФ </w:t>
            </w:r>
          </w:p>
        </w:tc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12 </w:t>
            </w:r>
          </w:p>
        </w:tc>
      </w:tr>
      <w:tr w:rsidR="00B87388" w:rsidRPr="00B87388">
        <w:trPr>
          <w:trHeight w:val="680"/>
        </w:trPr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Приказы федеральных органов исполнительной власти </w:t>
            </w:r>
          </w:p>
        </w:tc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5 </w:t>
            </w:r>
          </w:p>
        </w:tc>
      </w:tr>
      <w:tr w:rsidR="00B87388" w:rsidRPr="00B87388">
        <w:trPr>
          <w:trHeight w:val="200"/>
        </w:trPr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Итого: </w:t>
            </w:r>
          </w:p>
        </w:tc>
        <w:tc>
          <w:tcPr>
            <w:tcW w:w="4403" w:type="dxa"/>
          </w:tcPr>
          <w:p w:rsidR="00B87388" w:rsidRPr="00B87388" w:rsidRDefault="00B87388" w:rsidP="008D3662">
            <w:pPr>
              <w:pStyle w:val="Default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B87388">
              <w:rPr>
                <w:rFonts w:ascii="Times New Roman" w:hAnsi="Times New Roman" w:cs="Times New Roman"/>
                <w:sz w:val="40"/>
                <w:szCs w:val="40"/>
              </w:rPr>
              <w:t xml:space="preserve">24 </w:t>
            </w:r>
          </w:p>
        </w:tc>
      </w:tr>
    </w:tbl>
    <w:p w:rsidR="00B87388" w:rsidRDefault="00B87388" w:rsidP="008D3662">
      <w:pPr>
        <w:pStyle w:val="Default"/>
        <w:jc w:val="both"/>
      </w:pPr>
    </w:p>
    <w:p w:rsidR="00B87388" w:rsidRDefault="00B87388" w:rsidP="008D3662">
      <w:pPr>
        <w:jc w:val="both"/>
        <w:rPr>
          <w:b/>
          <w:bCs/>
          <w:sz w:val="60"/>
          <w:szCs w:val="60"/>
        </w:rPr>
      </w:pPr>
    </w:p>
    <w:p w:rsidR="00B87388" w:rsidRDefault="00B87388" w:rsidP="008D3662">
      <w:pPr>
        <w:jc w:val="both"/>
        <w:rPr>
          <w:b/>
          <w:bCs/>
          <w:sz w:val="60"/>
          <w:szCs w:val="60"/>
        </w:rPr>
      </w:pPr>
    </w:p>
    <w:p w:rsidR="00E1140B" w:rsidRDefault="00E1140B" w:rsidP="008D3662">
      <w:pPr>
        <w:jc w:val="both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br w:type="page"/>
      </w:r>
    </w:p>
    <w:p w:rsidR="00B87388" w:rsidRPr="00B87388" w:rsidRDefault="00B87388" w:rsidP="008D3662">
      <w:pPr>
        <w:jc w:val="both"/>
        <w:rPr>
          <w:rFonts w:ascii="Times New Roman" w:hAnsi="Times New Roman" w:cs="Times New Roman"/>
          <w:b/>
          <w:bCs/>
          <w:sz w:val="60"/>
          <w:szCs w:val="60"/>
        </w:rPr>
      </w:pPr>
      <w:r w:rsidRPr="00B87388">
        <w:rPr>
          <w:rFonts w:ascii="Times New Roman" w:hAnsi="Times New Roman" w:cs="Times New Roman"/>
          <w:b/>
          <w:bCs/>
          <w:sz w:val="60"/>
          <w:szCs w:val="60"/>
        </w:rPr>
        <w:lastRenderedPageBreak/>
        <w:t>Цели и задачи комплекса</w:t>
      </w:r>
    </w:p>
    <w:p w:rsidR="00B87388" w:rsidRDefault="00B87388" w:rsidP="008D366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7388" w:rsidRDefault="00B87388" w:rsidP="008D3662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0225" cy="7143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591" cy="71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388" w:rsidRDefault="00B87388" w:rsidP="008D3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388" w:rsidRDefault="00B87388" w:rsidP="008D3662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764" cy="4657725"/>
            <wp:effectExtent l="19050" t="0" r="483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388" w:rsidRPr="00B87388" w:rsidRDefault="00B87388" w:rsidP="008D3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388" w:rsidRPr="00B87388" w:rsidRDefault="00B87388" w:rsidP="008D3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388" w:rsidRPr="00B87388" w:rsidRDefault="00B87388" w:rsidP="008D3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388" w:rsidRDefault="00B87388" w:rsidP="008D3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388" w:rsidRDefault="00B87388" w:rsidP="008D3662">
      <w:pPr>
        <w:pStyle w:val="Default"/>
        <w:jc w:val="both"/>
      </w:pPr>
    </w:p>
    <w:p w:rsidR="00B87388" w:rsidRDefault="00B87388" w:rsidP="008D3662">
      <w:pPr>
        <w:pStyle w:val="Default"/>
        <w:jc w:val="both"/>
      </w:pPr>
    </w:p>
    <w:p w:rsidR="00E1140B" w:rsidRDefault="00E1140B" w:rsidP="008D3662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br w:type="page"/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B87388">
        <w:rPr>
          <w:rFonts w:ascii="Times New Roman" w:hAnsi="Times New Roman" w:cs="Times New Roman"/>
          <w:b/>
          <w:bCs/>
          <w:color w:val="auto"/>
          <w:sz w:val="44"/>
          <w:szCs w:val="44"/>
        </w:rPr>
        <w:lastRenderedPageBreak/>
        <w:t>Региональный оператор осуществляют следующие полномочия:</w:t>
      </w:r>
    </w:p>
    <w:p w:rsidR="00B87388" w:rsidRPr="00B87388" w:rsidRDefault="00B87388" w:rsidP="008D3662">
      <w:pPr>
        <w:pStyle w:val="Default"/>
        <w:spacing w:after="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•взаимодействует с федеральным оператором по сбору информации о проведении тестирования населения в регионе; </w:t>
      </w:r>
    </w:p>
    <w:p w:rsidR="00B87388" w:rsidRPr="00B87388" w:rsidRDefault="00B87388" w:rsidP="008D3662">
      <w:pPr>
        <w:pStyle w:val="Default"/>
        <w:spacing w:after="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•осуществляет информационно-пропагандистскую работу в субъекте Российской Федерации, осуществляет содействие в создании и ведении единой электронной базы данных и организации функционирования </w:t>
      </w:r>
      <w:proofErr w:type="spellStart"/>
      <w:proofErr w:type="gramStart"/>
      <w:r w:rsidRPr="00B87388">
        <w:rPr>
          <w:rFonts w:ascii="Times New Roman" w:hAnsi="Times New Roman" w:cs="Times New Roman"/>
          <w:color w:val="auto"/>
          <w:sz w:val="28"/>
          <w:szCs w:val="28"/>
        </w:rPr>
        <w:t>интернет-портала</w:t>
      </w:r>
      <w:proofErr w:type="spellEnd"/>
      <w:proofErr w:type="gramEnd"/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 комплекса ГТО; </w:t>
      </w:r>
    </w:p>
    <w:p w:rsidR="00B87388" w:rsidRPr="00B87388" w:rsidRDefault="00B87388" w:rsidP="008D3662">
      <w:pPr>
        <w:pStyle w:val="Default"/>
        <w:spacing w:after="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•взаимодействует с органами местного самоуправления по оснащению Центров тестирования необходимым инвентарем и оборудованием, учетными карточками выполнения нормативов и государственных требований комплекса ГТО; </w:t>
      </w:r>
    </w:p>
    <w:p w:rsidR="00B87388" w:rsidRPr="00B87388" w:rsidRDefault="00B87388" w:rsidP="008D3662">
      <w:pPr>
        <w:pStyle w:val="Default"/>
        <w:spacing w:after="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•содействует Центрам тестирования в комплектовании судейских бригад; </w:t>
      </w:r>
    </w:p>
    <w:p w:rsidR="00B87388" w:rsidRPr="00B87388" w:rsidRDefault="00B87388" w:rsidP="008D3662">
      <w:pPr>
        <w:pStyle w:val="Default"/>
        <w:spacing w:after="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•осуществляет координацию работы Центров тестирования в регионе, в том числе обеспечивает равномерную загруженность Центров тестирования в соответствии с графиком; </w:t>
      </w:r>
    </w:p>
    <w:p w:rsidR="00B87388" w:rsidRPr="00B87388" w:rsidRDefault="00B87388" w:rsidP="008D3662">
      <w:pPr>
        <w:pStyle w:val="Default"/>
        <w:spacing w:after="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организует и проводит работу по сбору заявок и подготовке документов для награждения граждан знаками отличия комплекса ГТО;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•осуществляет информационно-разъяснительную, кадровую и организационную работу </w:t>
      </w:r>
    </w:p>
    <w:p w:rsidR="00B87388" w:rsidRDefault="00B87388" w:rsidP="008D3662">
      <w:pPr>
        <w:pStyle w:val="Default"/>
        <w:jc w:val="both"/>
      </w:pP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44"/>
          <w:szCs w:val="44"/>
        </w:rPr>
      </w:pPr>
      <w:r w:rsidRPr="00B87388">
        <w:rPr>
          <w:rFonts w:ascii="Times New Roman" w:hAnsi="Times New Roman" w:cs="Times New Roman"/>
          <w:b/>
          <w:bCs/>
          <w:color w:val="auto"/>
          <w:sz w:val="44"/>
          <w:szCs w:val="44"/>
        </w:rPr>
        <w:t>Организация работы комплекса ГТО в образовательных организациях</w:t>
      </w:r>
    </w:p>
    <w:p w:rsidR="00B87388" w:rsidRPr="00B87388" w:rsidRDefault="00B87388" w:rsidP="008D3662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40"/>
          <w:szCs w:val="40"/>
        </w:rPr>
        <w:t>•</w:t>
      </w: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Оказание консультационной и методической помощи желающим подготовиться к выполнению нормативов и требований комплекса ГТО; </w:t>
      </w:r>
    </w:p>
    <w:p w:rsidR="00B87388" w:rsidRPr="00B87388" w:rsidRDefault="00B87388" w:rsidP="008D3662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 Осуществление контрольных тестирований для предварительной оценки уровня подготовленности граждан к выполнению нормативов золотого, серебряного или бронзового знака отличия комплекса ГТО; </w:t>
      </w:r>
    </w:p>
    <w:p w:rsidR="00B87388" w:rsidRPr="00B87388" w:rsidRDefault="00B87388" w:rsidP="008D3662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•Пропаганда и популяризация, в т.ч. личным примером, комплекса ГТО. </w:t>
      </w:r>
    </w:p>
    <w:p w:rsidR="00B87388" w:rsidRPr="00B87388" w:rsidRDefault="00B87388" w:rsidP="008D3662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•Результатом работы по подготовке к тестированию должно стать освоение методик выполнения тестов (испытаний) комплекса ГТО, навыков самодиагностики физического развития, здоровья и выносливости и методов их коррекции. </w:t>
      </w:r>
    </w:p>
    <w:p w:rsidR="00B87388" w:rsidRPr="00B87388" w:rsidRDefault="00B87388" w:rsidP="008D36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388">
        <w:rPr>
          <w:rFonts w:ascii="Times New Roman" w:hAnsi="Times New Roman" w:cs="Times New Roman"/>
          <w:color w:val="auto"/>
          <w:sz w:val="28"/>
          <w:szCs w:val="28"/>
        </w:rPr>
        <w:t xml:space="preserve">•Физкультурно-спортивные и педагогические работники должны пройти специальную подготовку или переподготовку, которая обеспечит грамотную и качественную работу с гражданами по внедрению комплекса ГТО. </w:t>
      </w:r>
    </w:p>
    <w:p w:rsidR="00B87388" w:rsidRPr="00B87388" w:rsidRDefault="00B87388" w:rsidP="008D3662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B87388" w:rsidRPr="00B87388" w:rsidSect="005D759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21F"/>
    <w:rsid w:val="002E1A44"/>
    <w:rsid w:val="005D759C"/>
    <w:rsid w:val="0081760E"/>
    <w:rsid w:val="00865A4C"/>
    <w:rsid w:val="008B5931"/>
    <w:rsid w:val="008D3662"/>
    <w:rsid w:val="0090221F"/>
    <w:rsid w:val="009C63A4"/>
    <w:rsid w:val="00B87388"/>
    <w:rsid w:val="00DE110B"/>
    <w:rsid w:val="00E1140B"/>
    <w:rsid w:val="00F162A2"/>
    <w:rsid w:val="00FF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A2"/>
  </w:style>
  <w:style w:type="paragraph" w:styleId="1">
    <w:name w:val="heading 1"/>
    <w:basedOn w:val="a"/>
    <w:link w:val="10"/>
    <w:uiPriority w:val="9"/>
    <w:qFormat/>
    <w:rsid w:val="0090221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21F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90221F"/>
    <w:pPr>
      <w:spacing w:before="100" w:beforeAutospacing="1" w:after="100" w:afterAutospacing="1"/>
      <w:ind w:firstLine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02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221F"/>
    <w:rPr>
      <w:color w:val="0000FF"/>
      <w:u w:val="single"/>
    </w:rPr>
  </w:style>
  <w:style w:type="paragraph" w:customStyle="1" w:styleId="uk-article-meta">
    <w:name w:val="uk-article-meta"/>
    <w:basedOn w:val="a"/>
    <w:rsid w:val="0090221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221F"/>
  </w:style>
  <w:style w:type="character" w:styleId="a4">
    <w:name w:val="Strong"/>
    <w:basedOn w:val="a0"/>
    <w:uiPriority w:val="22"/>
    <w:qFormat/>
    <w:rsid w:val="0090221F"/>
    <w:rPr>
      <w:b/>
      <w:bCs/>
    </w:rPr>
  </w:style>
  <w:style w:type="paragraph" w:customStyle="1" w:styleId="uk-text-small">
    <w:name w:val="uk-text-small"/>
    <w:basedOn w:val="a"/>
    <w:rsid w:val="0090221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0221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221F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2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69E4"/>
    <w:pPr>
      <w:autoSpaceDE w:val="0"/>
      <w:autoSpaceDN w:val="0"/>
      <w:adjustRightInd w:val="0"/>
      <w:spacing w:before="0"/>
      <w:ind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66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555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to-normy.ru/wp-content/uploads/2014/09/serebryanyy-znachok-gto.png" TargetMode="External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hyperlink" Target="http://www.gto-normy.ru/wp-content/uploads/2014/09/zolotoy-znachok-gto.png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gto.vzlettime.ru/?p=908" TargetMode="External"/><Relationship Id="rId9" Type="http://schemas.openxmlformats.org/officeDocument/2006/relationships/hyperlink" Target="http://www.gto-normy.ru/wp-content/uploads/2014/09/bronzovyy-znachok-gto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2016-09-28T10:49:00Z</cp:lastPrinted>
  <dcterms:created xsi:type="dcterms:W3CDTF">2016-09-22T10:47:00Z</dcterms:created>
  <dcterms:modified xsi:type="dcterms:W3CDTF">2017-12-06T09:53:00Z</dcterms:modified>
</cp:coreProperties>
</file>